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ascii="Arial" w:hAnsi="Arial" w:cs="Arial"/>
          <w:color w:val="4C4C4C"/>
          <w:sz w:val="22"/>
          <w:szCs w:val="22"/>
        </w:rPr>
      </w:pP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instrText xml:space="preserve"> HYPERLINK "http://kbsmp76.ru/chairs/diagnostic/rules_material.php" \o "Правила сбора мокроты" </w:instrTex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SimSun" w:cs="Arial"/>
          <w:color w:val="3249C6"/>
          <w:sz w:val="22"/>
          <w:szCs w:val="22"/>
          <w:u w:val="none"/>
        </w:rPr>
        <w:t>Правила сбора мокроты</w: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Утреннюю мокроту (до приема пищи), выделяющуюся во время приступа кашля, собирают в стерильную банку или в стерильный контейнер (бакпечатку) с герметичной крышкой. Перед сбором материала необходимо почистить зубы и прополоскать рот кипяченой водой с целью механического удаления остатков пищи и микрофлоры ротовой полости.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Если мокрота отделяется в скудном количестве, необходимо накануне сбора материала принять отхаркивающие средства. Можно применять аэрозольную ингаляцию, провоцирующую усиление секреции бронхов или использовать ингаляцию горячего солевого гипертонического раствора в течение 10-20 минут.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Мокроту можно хранить до исследования в холодильнике при 3-5 С◦ не более 3 часов.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Показания к исследованию: инфекции дыхательных путей, бронхит, пневмония.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4C4C4C"/>
          <w:sz w:val="22"/>
          <w:szCs w:val="22"/>
        </w:rPr>
      </w:pP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instrText xml:space="preserve"> HYPERLINK "http://kbsmp76.ru/chairs/diagnostic/rules_material.php" \o "Правила сбора мочи" </w:instrTex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SimSun" w:cs="Arial"/>
          <w:color w:val="3249C6"/>
          <w:sz w:val="22"/>
          <w:szCs w:val="22"/>
          <w:u w:val="none"/>
        </w:rPr>
        <w:t>Правила сбора мочи</w: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>Мочу собирают утром, натощак, сазу после сна. Перед сбором мочи проводят тщательный туалет наружных половых органов. Длительное хранение мочи при комнатной температуре до исследования приводит к изменению физических свойств, разрушению клеток и размножению бактерий. В связи с этим, некоторое время мочу можно хранить в холодильнике, но не доводить до замерзания! Доставлять в лабораторию мочу следует в одноразовой или стерилизованнной баночке с крышкой.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Различные виды исследования мочи.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>общий анализ мочи. Собирают всю порцию утренней мочи при свободном мочеиспускании в чистую стеклянную емкость, тщательно перемешивают и отливают 50-100 мл в емкость для доставки в лабораторию;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анализ мочи по Нечипоренко. Собирают среднюю порцию утренней мочи при свободном мочеиспускании в емкость для доставки в лабораторию.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>проба по Земницкому. Собирают за сутки 8 порций мочи: в 600 утра опорожняют мочевой пузырь (эта порция выливается). Начиная с 9.00 утра, точно через каждые 3 часа в отдельные ёмкости собирают 8 порций мочи – до 600 утра следующего дня. При этом мочеиспускание проводят в мерную емкость, затем, после перемешивания, отбирают около 100 мл в емкость для доставки в лабораторию. На каждой банке отмечают время и объем порции мочи. Проба проводится при обычном питьевом режиме и питании – следует избегать форсированной питьевой нагрузки;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>количественное определение глюкозы. Собирают суточную мочу в единую емкость. После тщательного перемешивания отливают 100-150 мл в ёмкость для доставки в лабораторию. На бланке направления необходимо указать объём сточного диуреза.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4C4C4C"/>
          <w:sz w:val="22"/>
          <w:szCs w:val="22"/>
        </w:rPr>
      </w:pP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instrText xml:space="preserve"> HYPERLINK "http://kbsmp76.ru/chairs/diagnostic/rules_material.php" \o "Правила сбора кала" </w:instrTex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SimSun" w:cs="Arial"/>
          <w:color w:val="3249C6"/>
          <w:sz w:val="22"/>
          <w:szCs w:val="22"/>
          <w:u w:val="none"/>
        </w:rPr>
        <w:t>Правила сбора кала</w: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Кал собирают в чистую, сухую, широкогорлую посуду. Затем отбирают 10-15 г в емкость для доставки в лабораторию (пенициллиновый пузырек). В используемой посуде не должно быть следов химических веществ: соли, моющих порошков, жидкости для мытья посуды и др. Материал должен быть доставлен в лабораторию не позднее, чем 8-12 часов после дефекации. Хранить до исследования можно в холодильнике при 3-5 С. Кроваво-слизистый, слизистый и жидкий стул должен быть обследован непосредственно после дефекации, еще в теплом состоянии. При наличии в испражнениях патологических примесей (слизь, хлопья, гной) их следует включить в отбираемую пробу.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Различные виды исследования кала.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>Исследование на скрытую кровь. За 3 дня до исследования из пищевого рациона необходимо исключить мясо, рыбу, яйца, зеленые растения!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24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>Исследование на гельминты и простейшие. За 3 дня до исследования необходимо исключить прием противопаразитарных лекарственных средств, использование маслянных клизм, ректальных свечей, рентгенологическое исследование с применением бария.</w:t>
      </w:r>
      <w:r>
        <w:rPr>
          <w:rFonts w:hint="default" w:ascii="Arial" w:hAnsi="Arial" w:cs="Arial"/>
          <w:color w:val="4C4C4C"/>
          <w:sz w:val="22"/>
          <w:szCs w:val="22"/>
        </w:rPr>
        <w:br w:type="textWrapping"/>
      </w:r>
      <w:r>
        <w:rPr>
          <w:rFonts w:hint="default" w:ascii="Arial" w:hAnsi="Arial" w:cs="Arial"/>
          <w:color w:val="4C4C4C"/>
          <w:sz w:val="22"/>
          <w:szCs w:val="22"/>
        </w:rPr>
        <w:br w:type="textWrapping"/>
      </w:r>
      <w:r>
        <w:rPr>
          <w:rFonts w:hint="default" w:ascii="Arial" w:hAnsi="Arial" w:cs="Arial"/>
          <w:color w:val="4C4C4C"/>
          <w:sz w:val="22"/>
          <w:szCs w:val="22"/>
        </w:rPr>
        <w:t>Сроки доставки материала в лабораторию после дефекации:</w:t>
      </w:r>
      <w:r>
        <w:rPr>
          <w:rFonts w:hint="default" w:ascii="Arial" w:hAnsi="Arial" w:cs="Arial"/>
          <w:color w:val="4C4C4C"/>
          <w:sz w:val="22"/>
          <w:szCs w:val="22"/>
        </w:rPr>
        <w:br w:type="textWrapping"/>
      </w:r>
      <w:r>
        <w:rPr>
          <w:rFonts w:hint="default" w:ascii="Arial" w:hAnsi="Arial" w:cs="Arial"/>
          <w:color w:val="4C4C4C"/>
          <w:sz w:val="22"/>
          <w:szCs w:val="22"/>
        </w:rPr>
        <w:t>   на простейшие – не более 1 часа;</w:t>
      </w:r>
      <w:r>
        <w:rPr>
          <w:rFonts w:hint="default" w:ascii="Arial" w:hAnsi="Arial" w:cs="Arial"/>
          <w:color w:val="4C4C4C"/>
          <w:sz w:val="22"/>
          <w:szCs w:val="22"/>
        </w:rPr>
        <w:br w:type="textWrapping"/>
      </w:r>
      <w:r>
        <w:rPr>
          <w:rFonts w:hint="default" w:ascii="Arial" w:hAnsi="Arial" w:cs="Arial"/>
          <w:color w:val="4C4C4C"/>
          <w:sz w:val="22"/>
          <w:szCs w:val="22"/>
        </w:rPr>
        <w:t>   на гельминты – не более 24 часов.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>Смыв на энтеробиоз (острицы). Перед сдачей анализа нельзя посещать туалет, нельзя подмываться, поскольку вода смоет все яйца паразитов, за сутки до исследования отказаться от приема каких-либо слабительных лекарственных препаратов и продуктов. Одноразовой ватной палочкой делается соскоб с перианальных складок в инфекционном кабинете.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4C4C4C"/>
          <w:sz w:val="22"/>
          <w:szCs w:val="22"/>
        </w:rPr>
      </w:pP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instrText xml:space="preserve"> HYPERLINK "http://kbsmp76.ru/chairs/diagnostic/rules_material.php" \o "Правила забора  крови" </w:instrTex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SimSun" w:cs="Arial"/>
          <w:color w:val="3249C6"/>
          <w:sz w:val="22"/>
          <w:szCs w:val="22"/>
          <w:u w:val="none"/>
        </w:rPr>
        <w:t>Правила забора крови</w: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Взятие крови осуществляется натощак, в утренние часы, перед забором необходимо выпить 1 стакан воды. В случае острой необходимости взятие крови может проводиться в любое время суток, однако желательно, чтобы с момента последнего приема пищи прошло не менее 2 часов.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>Существуют общие факторы, влияющие на результат исследований: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физическое напряжение (бег, быстрая ходьба, подъем по лестнице);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эмоциональное возбуждение;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>рентгеновское облучение;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прием пищи перед исследованием.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>Поэтому следует соблюдать следующие условия: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взятие крови осуществляется после 15-минутного отдыха обследуемого;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исключается курение и прием алкоголя непосредственно перед взятием крови.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Забор крови для биохимического исследования, гормональных исследований и исследований сыворотки крови на инфекции (ПЦР-диагностика), осуществляется в пластиковые пробирки без антикоагулянта.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>Забор крови для исследования свёртывающей системы и общего анализа крови осуществляется в специальные пластиковые пробирки с антикоагулянтом.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4C4C4C"/>
          <w:sz w:val="22"/>
          <w:szCs w:val="22"/>
        </w:rPr>
      </w:pP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instrText xml:space="preserve"> HYPERLINK "http://kbsmp76.ru/chairs/diagnostic/rules_material.php" \o "Исследование отделяемого мочеполовых органов" </w:instrTex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SimSun" w:cs="Arial"/>
          <w:color w:val="3249C6"/>
          <w:sz w:val="22"/>
          <w:szCs w:val="22"/>
          <w:u w:val="none"/>
        </w:rPr>
        <w:t>Исследование отделяемого мочеполовых органов</w: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Материал для микроскопического исследования (мазок) берут специальным стерильным одноразовым зондом-щеткой и равномерно размазывают на предметном стекле. При размещении на одном стекле мазков из разных локализаций, места нанесения мазка должны быть помечены: «U» – уретра, «V» – влагалище, «C» – цервикальный канал.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Соскоб для исследования на инфекции (ПЦР-диагностика) проводится с помощью стерильного одноразового зонда-щетки. Щетку зонда помещают в пластиковую микропробирку с крышкой типа Эппендорф, содержащую специальную среду. Тщательно омывают щетку средой (интенсивно покручивая зонд). Обрезают щетку, оставив ее в микропробирке, зонд удаляют и закрывают микропробирку. Пробирку Эппендорф со средой и обрезком зонда доставляют в лабораторию на пункте приема (регистрации) анализов.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Забор материала производится: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гинекологом (для женщин);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урологом (для мужчин).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4C4C4C"/>
          <w:sz w:val="22"/>
          <w:szCs w:val="22"/>
        </w:rPr>
      </w:pP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instrText xml:space="preserve"> HYPERLINK "http://kbsmp76.ru/chairs/diagnostic/rules_material.php" \o "Исследование секрета предстательной железы" </w:instrTex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SimSun" w:cs="Arial"/>
          <w:color w:val="3249C6"/>
          <w:sz w:val="22"/>
          <w:szCs w:val="22"/>
          <w:u w:val="none"/>
        </w:rPr>
        <w:t>Исследование секрета предстательной железы</w: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>Сбор материала проводится у уролога.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Материал для исследования получают после массажа предстательной железы в течение 3-4 мин на стекло, либо в пробирку с герметичной пробкой.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4C4C4C"/>
          <w:sz w:val="22"/>
          <w:szCs w:val="22"/>
        </w:rPr>
      </w:pP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instrText xml:space="preserve"> HYPERLINK "http://kbsmp76.ru/chairs/diagnostic/rules_material.php" \o "Спермограмма" </w:instrTex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SimSun" w:cs="Arial"/>
          <w:color w:val="3249C6"/>
          <w:sz w:val="22"/>
          <w:szCs w:val="22"/>
          <w:u w:val="none"/>
        </w:rPr>
        <w:t>Спермограмма</w:t>
      </w:r>
      <w:r>
        <w:rPr>
          <w:rFonts w:hint="default" w:ascii="Arial" w:hAnsi="Arial" w:eastAsia="SimSun" w:cs="Arial"/>
          <w:color w:val="3249C6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color w:val="4C4C4C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>Сбор материала проводится у уролога.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Для правильного выполнения исследования необходимо сексуальное воздержание не менее 3 дней, но не более 7 дней.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На это время: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исключить прием алкоголя и антибактериальных препаратов;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исключить прием стимулирующих средств;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0" w:after="0" w:afterAutospacing="0" w:line="360" w:lineRule="atLeast"/>
        <w:ind w:left="720" w:right="0" w:hanging="360"/>
      </w:pPr>
      <w:r>
        <w:rPr>
          <w:rFonts w:hint="default" w:ascii="Arial" w:hAnsi="Arial" w:cs="Arial"/>
          <w:color w:val="4C4C4C"/>
          <w:sz w:val="22"/>
          <w:szCs w:val="22"/>
        </w:rPr>
        <w:t xml:space="preserve">исключить эпизоды переутомления. </w:t>
      </w:r>
    </w:p>
    <w:p>
      <w:pPr>
        <w:rPr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OpenSans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0463F"/>
    <w:multiLevelType w:val="multilevel"/>
    <w:tmpl w:val="A5A046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AA4544AD"/>
    <w:multiLevelType w:val="multilevel"/>
    <w:tmpl w:val="AA4544A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02007ADA"/>
    <w:multiLevelType w:val="multilevel"/>
    <w:tmpl w:val="02007AD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0A53B549"/>
    <w:multiLevelType w:val="multilevel"/>
    <w:tmpl w:val="0A53B5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1D599BE0"/>
    <w:multiLevelType w:val="multilevel"/>
    <w:tmpl w:val="1D599B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2613991E"/>
    <w:multiLevelType w:val="multilevel"/>
    <w:tmpl w:val="261399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styleId="5">
    <w:name w:val="FollowedHyperlink"/>
    <w:basedOn w:val="3"/>
    <w:uiPriority w:val="0"/>
    <w:rPr>
      <w:color w:val="3249C6"/>
      <w:u w:val="none"/>
    </w:rPr>
  </w:style>
  <w:style w:type="character" w:styleId="6">
    <w:name w:val="Hyperlink"/>
    <w:basedOn w:val="3"/>
    <w:uiPriority w:val="0"/>
    <w:rPr>
      <w:color w:val="3249C6"/>
      <w:u w:val="none"/>
    </w:rPr>
  </w:style>
  <w:style w:type="character" w:styleId="7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Definition"/>
    <w:basedOn w:val="3"/>
    <w:uiPriority w:val="0"/>
    <w:rPr>
      <w:i/>
      <w:iCs/>
    </w:rPr>
  </w:style>
  <w:style w:type="character" w:styleId="10">
    <w:name w:val="Strong"/>
    <w:basedOn w:val="3"/>
    <w:qFormat/>
    <w:uiPriority w:val="0"/>
    <w:rPr>
      <w:b/>
      <w:bCs/>
    </w:rPr>
  </w:style>
  <w:style w:type="character" w:customStyle="1" w:styleId="12">
    <w:name w:val="adm-btn-disabled"/>
    <w:uiPriority w:val="0"/>
  </w:style>
  <w:style w:type="character" w:customStyle="1" w:styleId="13">
    <w:name w:val="bxst-red"/>
    <w:uiPriority w:val="0"/>
  </w:style>
  <w:style w:type="character" w:customStyle="1" w:styleId="14">
    <w:name w:val="bx-panel-small-single-button-arrow"/>
    <w:uiPriority w:val="0"/>
  </w:style>
  <w:style w:type="character" w:customStyle="1" w:styleId="15">
    <w:name w:val="bx-panel-small-button-arrow"/>
    <w:uiPriority w:val="0"/>
  </w:style>
  <w:style w:type="character" w:customStyle="1" w:styleId="16">
    <w:name w:val="bx-panel-small-button-arrow1"/>
    <w:uiPriority w:val="0"/>
  </w:style>
  <w:style w:type="character" w:customStyle="1" w:styleId="17">
    <w:name w:val="bx-panel-small-button-arrow2"/>
    <w:uiPriority w:val="0"/>
  </w:style>
  <w:style w:type="character" w:customStyle="1" w:styleId="18">
    <w:name w:val="bx-panel-small-button-arrow3"/>
    <w:uiPriority w:val="0"/>
  </w:style>
  <w:style w:type="character" w:customStyle="1" w:styleId="19">
    <w:name w:val="bx-context-toolbar-button-inner"/>
    <w:uiPriority w:val="0"/>
  </w:style>
  <w:style w:type="character" w:customStyle="1" w:styleId="20">
    <w:name w:val="bx-context-toolbar-button-inner1"/>
    <w:uiPriority w:val="0"/>
  </w:style>
  <w:style w:type="character" w:customStyle="1" w:styleId="21">
    <w:name w:val="bx-context-toolbar-button-inner2"/>
    <w:uiPriority w:val="0"/>
  </w:style>
  <w:style w:type="character" w:customStyle="1" w:styleId="22">
    <w:name w:val="bx-context-toolbar-button-inner3"/>
    <w:uiPriority w:val="0"/>
  </w:style>
  <w:style w:type="character" w:customStyle="1" w:styleId="23">
    <w:name w:val="bx-context-toolbar-button-inner4"/>
    <w:uiPriority w:val="0"/>
  </w:style>
  <w:style w:type="character" w:customStyle="1" w:styleId="24">
    <w:name w:val="bx-context-toolbar-button-inner5"/>
    <w:uiPriority w:val="0"/>
  </w:style>
  <w:style w:type="character" w:customStyle="1" w:styleId="25">
    <w:name w:val="bx-context-toolbar-button-arrow"/>
    <w:uiPriority w:val="0"/>
  </w:style>
  <w:style w:type="character" w:customStyle="1" w:styleId="26">
    <w:name w:val="bx-context-toolbar-button-arrow1"/>
    <w:uiPriority w:val="0"/>
  </w:style>
  <w:style w:type="character" w:customStyle="1" w:styleId="27">
    <w:name w:val="bx-context-toolbar-button-arrow2"/>
    <w:uiPriority w:val="0"/>
  </w:style>
  <w:style w:type="character" w:customStyle="1" w:styleId="28">
    <w:name w:val="bx-context-toolbar-button-arrow3"/>
    <w:uiPriority w:val="0"/>
  </w:style>
  <w:style w:type="character" w:customStyle="1" w:styleId="29">
    <w:name w:val="bx-context-toolbar-single-button-arrow"/>
    <w:uiPriority w:val="0"/>
  </w:style>
  <w:style w:type="character" w:customStyle="1" w:styleId="30">
    <w:name w:val="bx-context-toolbar-button-text"/>
    <w:uiPriority w:val="0"/>
  </w:style>
  <w:style w:type="character" w:customStyle="1" w:styleId="31">
    <w:name w:val="bx-context-toolbar-button-text1"/>
    <w:uiPriority w:val="0"/>
  </w:style>
  <w:style w:type="character" w:customStyle="1" w:styleId="32">
    <w:name w:val="bx-context-toolbar-button-text2"/>
    <w:uiPriority w:val="0"/>
  </w:style>
  <w:style w:type="character" w:customStyle="1" w:styleId="33">
    <w:name w:val="bx-context-toolbar-button-text3"/>
    <w:uiPriority w:val="0"/>
    <w:rPr>
      <w:rFonts w:ascii="helvetica" w:hAnsi="helvetica" w:eastAsia="helvetica" w:cs="helvetica"/>
      <w:sz w:val="16"/>
      <w:szCs w:val="16"/>
    </w:rPr>
  </w:style>
  <w:style w:type="character" w:customStyle="1" w:styleId="34">
    <w:name w:val="date-interval-hellip"/>
    <w:uiPriority w:val="0"/>
  </w:style>
  <w:style w:type="character" w:customStyle="1" w:styleId="35">
    <w:name w:val="bxst-gray"/>
    <w:uiPriority w:val="0"/>
  </w:style>
  <w:style w:type="character" w:customStyle="1" w:styleId="36">
    <w:name w:val="bx-panel-button-text"/>
    <w:uiPriority w:val="0"/>
  </w:style>
  <w:style w:type="character" w:customStyle="1" w:styleId="37">
    <w:name w:val="bx-panel-button-text1"/>
    <w:uiPriority w:val="0"/>
    <w:rPr>
      <w:rFonts w:hint="default" w:ascii="helvetica" w:hAnsi="helvetica" w:eastAsia="helvetica" w:cs="helvetica"/>
      <w:sz w:val="16"/>
      <w:szCs w:val="16"/>
    </w:rPr>
  </w:style>
  <w:style w:type="character" w:customStyle="1" w:styleId="38">
    <w:name w:val="bx-panel-button-text2"/>
    <w:uiPriority w:val="0"/>
  </w:style>
  <w:style w:type="character" w:customStyle="1" w:styleId="39">
    <w:name w:val="bx-panel-button-text3"/>
    <w:uiPriority w:val="0"/>
  </w:style>
  <w:style w:type="character" w:customStyle="1" w:styleId="40">
    <w:name w:val="adm-inp-active"/>
    <w:uiPriority w:val="0"/>
  </w:style>
  <w:style w:type="character" w:customStyle="1" w:styleId="41">
    <w:name w:val="adm-inp-active1"/>
    <w:uiPriority w:val="0"/>
  </w:style>
  <w:style w:type="character" w:customStyle="1" w:styleId="42">
    <w:name w:val="adm-btn1"/>
    <w:uiPriority w:val="0"/>
    <w:rPr>
      <w:bdr w:val="none" w:color="auto" w:sz="0" w:space="0"/>
    </w:rPr>
  </w:style>
  <w:style w:type="character" w:customStyle="1" w:styleId="43">
    <w:name w:val="bxst-col-pic"/>
    <w:uiPriority w:val="0"/>
  </w:style>
  <w:style w:type="character" w:customStyle="1" w:styleId="44">
    <w:name w:val="bxst-purple"/>
    <w:uiPriority w:val="0"/>
  </w:style>
  <w:style w:type="character" w:customStyle="1" w:styleId="45">
    <w:name w:val="bxst-yellow"/>
    <w:uiPriority w:val="0"/>
  </w:style>
  <w:style w:type="character" w:customStyle="1" w:styleId="46">
    <w:name w:val="bxst-green"/>
    <w:uiPriority w:val="0"/>
  </w:style>
  <w:style w:type="character" w:customStyle="1" w:styleId="47">
    <w:name w:val="bxst-blue"/>
    <w:uiPriority w:val="0"/>
  </w:style>
  <w:style w:type="character" w:customStyle="1" w:styleId="48">
    <w:name w:val="bx-context-toolbar-button-wrapper"/>
    <w:uiPriority w:val="0"/>
  </w:style>
  <w:style w:type="character" w:customStyle="1" w:styleId="49">
    <w:name w:val="bx-context-toolbar-button-wrapper1"/>
    <w:uiPriority w:val="0"/>
  </w:style>
  <w:style w:type="character" w:customStyle="1" w:styleId="50">
    <w:name w:val="bx-context-toolbar-vertical-line"/>
    <w:uiPriority w:val="0"/>
  </w:style>
  <w:style w:type="character" w:customStyle="1" w:styleId="51">
    <w:name w:val="bx-icon-underline"/>
    <w:uiPriority w:val="0"/>
    <w:rPr>
      <w:u w:val="single"/>
    </w:rPr>
  </w:style>
  <w:style w:type="character" w:customStyle="1" w:styleId="52">
    <w:name w:val="bx-icon-underline1"/>
    <w:uiPriority w:val="0"/>
    <w:rPr>
      <w:u w:val="single"/>
    </w:rPr>
  </w:style>
  <w:style w:type="character" w:customStyle="1" w:styleId="53">
    <w:name w:val="bx-context-toolbar-button-settings"/>
    <w:uiPriority w:val="0"/>
  </w:style>
  <w:style w:type="character" w:customStyle="1" w:styleId="54">
    <w:name w:val="bx-context-toolbar-inner"/>
    <w:uiPriority w:val="0"/>
  </w:style>
  <w:style w:type="character" w:customStyle="1" w:styleId="55">
    <w:name w:val="bx-context-toolbar-inner1"/>
    <w:uiPriority w:val="0"/>
    <w:rPr>
      <w:b/>
      <w:bdr w:val="none" w:color="auto" w:sz="0" w:space="0"/>
    </w:rPr>
  </w:style>
  <w:style w:type="character" w:customStyle="1" w:styleId="56">
    <w:name w:val="bx-context-toolbar-icons"/>
    <w:uiPriority w:val="0"/>
  </w:style>
  <w:style w:type="character" w:customStyle="1" w:styleId="57">
    <w:name w:val="bx-context-toolbar-icons1"/>
    <w:uiPriority w:val="0"/>
  </w:style>
  <w:style w:type="character" w:customStyle="1" w:styleId="58">
    <w:name w:val="bx-context-toolbar-button"/>
    <w:uiPriority w:val="0"/>
  </w:style>
  <w:style w:type="character" w:customStyle="1" w:styleId="59">
    <w:name w:val="bx-context-toolbar-button1"/>
    <w:uiPriority w:val="0"/>
  </w:style>
  <w:style w:type="character" w:customStyle="1" w:styleId="60">
    <w:name w:val="bx-context-toolbar-separator-switcher"/>
    <w:uiPriority w:val="0"/>
  </w:style>
  <w:style w:type="character" w:customStyle="1" w:styleId="61">
    <w:name w:val="bx-context-toolbar-separator"/>
    <w:uiPriority w:val="0"/>
  </w:style>
  <w:style w:type="character" w:customStyle="1" w:styleId="62">
    <w:name w:val="bx-context-toolbar-separator1"/>
    <w:uiPriority w:val="0"/>
  </w:style>
  <w:style w:type="character" w:customStyle="1" w:styleId="63">
    <w:name w:val="bx-context-toolbar-button-underlay"/>
    <w:uiPriority w:val="0"/>
  </w:style>
  <w:style w:type="character" w:customStyle="1" w:styleId="64">
    <w:name w:val="bx-context-toolbar-button-underlay1"/>
    <w:uiPriority w:val="0"/>
  </w:style>
  <w:style w:type="character" w:customStyle="1" w:styleId="65">
    <w:name w:val="bx-context-toolbar-drag-icon"/>
    <w:uiPriority w:val="0"/>
  </w:style>
  <w:style w:type="character" w:customStyle="1" w:styleId="66">
    <w:name w:val="bx-context-toolbar-switcher-separator"/>
    <w:uiPriority w:val="0"/>
  </w:style>
  <w:style w:type="character" w:customStyle="1" w:styleId="67">
    <w:name w:val="adm-btn-save7"/>
    <w:uiPriority w:val="0"/>
  </w:style>
  <w:style w:type="character" w:customStyle="1" w:styleId="68">
    <w:name w:val="adm-btn-green5"/>
    <w:uiPriority w:val="0"/>
  </w:style>
  <w:style w:type="character" w:customStyle="1" w:styleId="69">
    <w:name w:val="bx-context-button-text"/>
    <w:uiPriority w:val="0"/>
  </w:style>
  <w:style w:type="character" w:customStyle="1" w:styleId="70">
    <w:name w:val="bx-context-button-icon"/>
    <w:uiPriority w:val="0"/>
  </w:style>
  <w:style w:type="character" w:customStyle="1" w:styleId="71">
    <w:name w:val="adm-btn-disabled1"/>
    <w:uiPriority w:val="0"/>
  </w:style>
  <w:style w:type="character" w:customStyle="1" w:styleId="72">
    <w:name w:val="adm-btn-disabled2"/>
    <w:uiPriority w:val="0"/>
    <w:rPr>
      <w:color w:val="FFFFFF"/>
      <w:bdr w:val="single" w:color="7EA502" w:sz="6" w:space="0"/>
    </w:rPr>
  </w:style>
  <w:style w:type="character" w:customStyle="1" w:styleId="73">
    <w:name w:val="bx-context-toolbar-vertical-line1"/>
    <w:uiPriority w:val="0"/>
  </w:style>
  <w:style w:type="character" w:customStyle="1" w:styleId="74">
    <w:name w:val="adm-btn"/>
    <w:uiPriority w:val="0"/>
    <w:rPr>
      <w:bdr w:val="none" w:color="auto" w:sz="0" w:space="0"/>
    </w:rPr>
  </w:style>
  <w:style w:type="character" w:customStyle="1" w:styleId="75">
    <w:name w:val="bx-context-toolbar-single-button-arrow1"/>
    <w:uiPriority w:val="0"/>
  </w:style>
  <w:style w:type="character" w:customStyle="1" w:styleId="76">
    <w:name w:val="bx-context-toolbar-single-button-arrow2"/>
    <w:uiPriority w:val="0"/>
  </w:style>
  <w:style w:type="character" w:customStyle="1" w:styleId="77">
    <w:name w:val="bx-context-toolbar-single-button-arrow3"/>
    <w:uiPriority w:val="0"/>
  </w:style>
  <w:style w:type="character" w:customStyle="1" w:styleId="78">
    <w:name w:val="adm-inp-active2"/>
    <w:uiPriority w:val="0"/>
  </w:style>
  <w:style w:type="character" w:customStyle="1" w:styleId="79">
    <w:name w:val="adm-inp-active3"/>
    <w:uiPriority w:val="0"/>
  </w:style>
  <w:style w:type="character" w:customStyle="1" w:styleId="80">
    <w:name w:val="adm-btn-green4"/>
    <w:uiPriority w:val="0"/>
  </w:style>
  <w:style w:type="character" w:customStyle="1" w:styleId="81">
    <w:name w:val="bx-panel-small-single-button-arrow1"/>
    <w:uiPriority w:val="0"/>
  </w:style>
  <w:style w:type="character" w:customStyle="1" w:styleId="82">
    <w:name w:val="bx-panel-small-single-button-arrow2"/>
    <w:uiPriority w:val="0"/>
  </w:style>
  <w:style w:type="character" w:customStyle="1" w:styleId="83">
    <w:name w:val="bx-panel-small-single-button-arrow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2019-04-29T06:16:34Z</dcterms:created>
  <dc:creator>DonskoyES</dc:creator>
  <cp:lastModifiedBy>DonskoyES</cp:lastModifiedBy>
  <dcterms:modified xsi:type="dcterms:W3CDTF">2019-04-29T07:55:33Z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